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KF-E-04</w:t>
      </w:r>
    </w:p>
    <w:p>
      <w:pPr>
        <w:jc w:val="center"/>
      </w:pPr>
      <w:r>
        <w:rPr>
          <w:b/>
          <w:color w:val="16295C"/>
          <w:sz w:val="36"/>
        </w:rPr>
        <w:t>농어업경영체 확인서 제출 안내</w:t>
      </w:r>
    </w:p>
    <w:p/>
    <w:p>
      <w:r>
        <w:t>농어업경영체 육성 및 지원에 관한 법률에 따른 농어업경영체 확인서를 제출해 주시기 바랍니다.</w:t>
      </w:r>
    </w:p>
    <w:p>
      <w:r>
        <w:t>☐  발급처: 국립농산물품질관리원(또는 무인발급기)</w:t>
      </w:r>
    </w:p>
    <w:p>
      <w:r>
        <w:t>☐  발급일로부터 1개월 이내 서류 권장</w:t>
      </w:r>
    </w:p>
    <w:p>
      <w:r>
        <w:t>☐  경영주명과 고용신청서 대표자가 동일할 것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